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line="240" w:lineRule="auto"/>
        <w:ind w:firstLine="709" w:left="0"/>
        <w:jc w:val="center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 xml:space="preserve">Вступили в силу изменения </w:t>
      </w:r>
      <w:r>
        <w:rPr>
          <w:rFonts w:ascii="Times New Roman" w:hAnsi="Times New Roman"/>
          <w:color w:val="333333"/>
          <w:sz w:val="28"/>
        </w:rPr>
        <w:t>в</w:t>
      </w:r>
      <w:r>
        <w:rPr>
          <w:rFonts w:ascii="Times New Roman" w:hAnsi="Times New Roman"/>
          <w:color w:val="333333"/>
          <w:sz w:val="28"/>
        </w:rPr>
        <w:t xml:space="preserve"> Федеральн</w:t>
      </w:r>
      <w:r>
        <w:rPr>
          <w:rFonts w:ascii="Times New Roman" w:hAnsi="Times New Roman"/>
          <w:color w:val="333333"/>
          <w:sz w:val="28"/>
        </w:rPr>
        <w:t>ый</w:t>
      </w:r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333333"/>
          <w:sz w:val="28"/>
        </w:rPr>
        <w:t>закон</w:t>
      </w:r>
      <w:r>
        <w:rPr>
          <w:rFonts w:ascii="Times New Roman" w:hAnsi="Times New Roman"/>
          <w:color w:val="333333"/>
          <w:sz w:val="28"/>
        </w:rPr>
        <w:t xml:space="preserve"> 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333333"/>
          <w:sz w:val="28"/>
        </w:rPr>
        <w:t>Об исполнительном производстве»</w:t>
      </w:r>
    </w:p>
    <w:p w14:paraId="02000000">
      <w:pPr>
        <w:spacing w:line="540" w:lineRule="atLeast"/>
        <w:ind w:firstLine="709" w:left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333333"/>
          <w:sz w:val="28"/>
        </w:rPr>
        <w:t xml:space="preserve"> </w:t>
      </w:r>
    </w:p>
    <w:p w14:paraId="03000000">
      <w:pPr>
        <w:spacing w:afterAutospacing="on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000000"/>
          <w:sz w:val="28"/>
        </w:rPr>
        <w:t>Согласно новой редакции</w:t>
      </w:r>
      <w:r>
        <w:rPr>
          <w:rFonts w:ascii="Times New Roman" w:hAnsi="Times New Roman"/>
          <w:color w:val="000000"/>
          <w:sz w:val="28"/>
        </w:rPr>
        <w:t xml:space="preserve"> ст. 112 </w:t>
      </w:r>
      <w:r>
        <w:rPr>
          <w:rFonts w:ascii="Times New Roman" w:hAnsi="Times New Roman"/>
          <w:color w:val="000000"/>
          <w:sz w:val="28"/>
        </w:rPr>
        <w:t xml:space="preserve"> Федерального закона № 229-ФЗ «Об исполнительном производстве» исполнительский сбор не подлежит взысканию с должников – органов государственной власти, органом местного самоуправления, а также государственных (муниципальных) казенных учреждений по исполнительным доку</w:t>
      </w:r>
      <w:bookmarkStart w:id="1" w:name="_GoBack"/>
      <w:bookmarkEnd w:id="1"/>
      <w:r>
        <w:rPr>
          <w:rFonts w:ascii="Times New Roman" w:hAnsi="Times New Roman"/>
          <w:color w:val="000000"/>
          <w:sz w:val="28"/>
        </w:rPr>
        <w:t>ментам, содержащим требования неимущественного характера, по которым судебными приставами-исполнителями возбуждены исполнительные производства.</w:t>
      </w:r>
    </w:p>
    <w:p w14:paraId="04000000">
      <w:pPr>
        <w:spacing w:after="0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района                                                               О.А.Огнева </w:t>
      </w:r>
    </w:p>
    <w:p w14:paraId="05000000">
      <w:pPr>
        <w:spacing w:afterAutospacing="on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feeds-page__navigation_tooltip"/>
    <w:basedOn w:val="Style_9"/>
    <w:link w:val="Style_17_ch"/>
  </w:style>
  <w:style w:styleId="Style_17_ch" w:type="character">
    <w:name w:val="feeds-page__navigation_tooltip"/>
    <w:basedOn w:val="Style_9_ch"/>
    <w:link w:val="Style_17"/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feeds-page__navigation_icon"/>
    <w:basedOn w:val="Style_9"/>
    <w:link w:val="Style_21_ch"/>
  </w:style>
  <w:style w:styleId="Style_21_ch" w:type="character">
    <w:name w:val="feeds-page__navigation_icon"/>
    <w:basedOn w:val="Style_9_ch"/>
    <w:link w:val="Style_21"/>
  </w:style>
  <w:style w:styleId="Style_22" w:type="paragraph">
    <w:name w:val="Subtitle"/>
    <w:next w:val="Style_1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2025-10-08T05:24:03Z</dcterms:modified>
</cp:coreProperties>
</file>